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C5565" w:rsidTr="004F0318">
        <w:trPr>
          <w:trHeight w:val="893"/>
        </w:trPr>
        <w:tc>
          <w:tcPr>
            <w:tcW w:w="9778" w:type="dxa"/>
            <w:shd w:val="clear" w:color="auto" w:fill="auto"/>
            <w:vAlign w:val="center"/>
          </w:tcPr>
          <w:p w:rsidR="0066584B" w:rsidRPr="004F0318" w:rsidRDefault="003C7B7C" w:rsidP="004F0318">
            <w:pPr>
              <w:spacing w:before="6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Retningslinje</w:t>
            </w:r>
            <w:r w:rsidR="00574A93">
              <w:rPr>
                <w:rFonts w:ascii="Arial" w:hAnsi="Arial" w:cs="Arial"/>
                <w:b/>
                <w:sz w:val="28"/>
              </w:rPr>
              <w:t>r</w:t>
            </w:r>
            <w:r w:rsidR="00FC5565" w:rsidRPr="004F0318">
              <w:rPr>
                <w:rFonts w:ascii="Arial" w:hAnsi="Arial" w:cs="Arial"/>
                <w:b/>
                <w:sz w:val="28"/>
              </w:rPr>
              <w:t xml:space="preserve"> for </w:t>
            </w:r>
            <w:r w:rsidR="00D15D75">
              <w:rPr>
                <w:rFonts w:ascii="Arial" w:hAnsi="Arial" w:cs="Arial"/>
                <w:b/>
                <w:sz w:val="28"/>
              </w:rPr>
              <w:t>s</w:t>
            </w:r>
            <w:r w:rsidR="0066584B" w:rsidRPr="004F0318">
              <w:rPr>
                <w:rFonts w:ascii="Arial" w:hAnsi="Arial" w:cs="Arial"/>
                <w:b/>
                <w:sz w:val="28"/>
              </w:rPr>
              <w:t>yge</w:t>
            </w:r>
            <w:r w:rsidR="00D15D75">
              <w:rPr>
                <w:rFonts w:ascii="Arial" w:hAnsi="Arial" w:cs="Arial"/>
                <w:b/>
                <w:sz w:val="28"/>
              </w:rPr>
              <w:t>fravær</w:t>
            </w:r>
          </w:p>
          <w:p w:rsidR="00FC5565" w:rsidRPr="004F0318" w:rsidRDefault="00FC5565" w:rsidP="00CB6A7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F0318">
              <w:rPr>
                <w:rFonts w:ascii="Arial" w:hAnsi="Arial" w:cs="Arial"/>
                <w:b/>
              </w:rPr>
              <w:t xml:space="preserve">Gældende for medarbejdere i </w:t>
            </w:r>
            <w:r w:rsidR="00CB6A71">
              <w:rPr>
                <w:rFonts w:ascii="Arial" w:hAnsi="Arial" w:cs="Arial"/>
                <w:b/>
              </w:rPr>
              <w:t>Miljø &amp;</w:t>
            </w:r>
            <w:r w:rsidR="003C7B7C">
              <w:rPr>
                <w:rFonts w:ascii="Arial" w:hAnsi="Arial" w:cs="Arial"/>
                <w:b/>
              </w:rPr>
              <w:t xml:space="preserve"> Teknik</w:t>
            </w:r>
          </w:p>
        </w:tc>
      </w:tr>
      <w:tr w:rsidR="00FC5565" w:rsidTr="004F0318">
        <w:trPr>
          <w:trHeight w:val="9870"/>
        </w:trPr>
        <w:tc>
          <w:tcPr>
            <w:tcW w:w="9778" w:type="dxa"/>
            <w:shd w:val="clear" w:color="auto" w:fill="auto"/>
          </w:tcPr>
          <w:p w:rsidR="00A463E2" w:rsidRDefault="00A463E2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4F0318">
              <w:rPr>
                <w:rFonts w:ascii="Verdana" w:hAnsi="Verdana"/>
                <w:sz w:val="20"/>
                <w:szCs w:val="20"/>
              </w:rPr>
              <w:t>Sygemelding skal</w:t>
            </w:r>
            <w:r w:rsidRPr="004F0318">
              <w:rPr>
                <w:rFonts w:ascii="Verdana" w:hAnsi="Verdana"/>
                <w:szCs w:val="20"/>
              </w:rPr>
              <w:t xml:space="preserve"> - 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senest kl. 9.00 – meddeles telefonisk til </w:t>
            </w:r>
            <w:r>
              <w:rPr>
                <w:rFonts w:ascii="Verdana" w:hAnsi="Verdana"/>
                <w:sz w:val="20"/>
                <w:szCs w:val="20"/>
              </w:rPr>
              <w:t xml:space="preserve">lederen. 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Så vidt muligt skal det samtidigt oplyses, hvor længe fraværet skønnes at vare. </w:t>
            </w:r>
            <w:r w:rsidR="003709FC" w:rsidRPr="001F22F3">
              <w:rPr>
                <w:rFonts w:ascii="Verdana" w:hAnsi="Verdana"/>
                <w:sz w:val="20"/>
                <w:szCs w:val="20"/>
              </w:rPr>
              <w:t>Er det ikke muligt at komme i kontakt med lederen, lægges en besked på telefonsvareren eller der sendes en mail.</w:t>
            </w:r>
            <w:r w:rsidR="003709F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66A37" w:rsidRDefault="00166A37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166A37" w:rsidRPr="001F22F3" w:rsidRDefault="003709FC" w:rsidP="00166A37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1F22F3">
              <w:rPr>
                <w:rFonts w:ascii="Verdana" w:hAnsi="Verdana"/>
                <w:sz w:val="20"/>
                <w:szCs w:val="20"/>
              </w:rPr>
              <w:t>Medarbejderen</w:t>
            </w:r>
            <w:r w:rsidR="00166A37" w:rsidRPr="003709FC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166A37">
              <w:rPr>
                <w:rFonts w:ascii="Verdana" w:hAnsi="Verdana"/>
                <w:sz w:val="20"/>
                <w:szCs w:val="20"/>
              </w:rPr>
              <w:t>sørger herefter for at orientere teamet og give besked til Lene, Susan eller Lissi, der udfylder s</w:t>
            </w:r>
            <w:r w:rsidR="00166A37" w:rsidRPr="004F0318">
              <w:rPr>
                <w:rFonts w:ascii="Verdana" w:hAnsi="Verdana"/>
                <w:sz w:val="20"/>
                <w:szCs w:val="20"/>
              </w:rPr>
              <w:t>kema</w:t>
            </w:r>
            <w:r w:rsidR="00166A37">
              <w:rPr>
                <w:rFonts w:ascii="Verdana" w:hAnsi="Verdana"/>
                <w:sz w:val="20"/>
                <w:szCs w:val="20"/>
              </w:rPr>
              <w:t>et</w:t>
            </w:r>
            <w:r w:rsidR="00166A37" w:rsidRPr="004F03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6A37">
              <w:rPr>
                <w:rFonts w:ascii="Verdana" w:hAnsi="Verdana"/>
                <w:sz w:val="20"/>
                <w:szCs w:val="20"/>
              </w:rPr>
              <w:t xml:space="preserve">til </w:t>
            </w:r>
            <w:r w:rsidR="00166A37" w:rsidRPr="004F0318">
              <w:rPr>
                <w:rFonts w:ascii="Verdana" w:hAnsi="Verdana"/>
                <w:sz w:val="20"/>
                <w:szCs w:val="20"/>
              </w:rPr>
              <w:t>anmeldelse af fravær/sygemelding</w:t>
            </w:r>
            <w:r w:rsidR="00166A37">
              <w:rPr>
                <w:rFonts w:ascii="Verdana" w:hAnsi="Verdana"/>
                <w:sz w:val="20"/>
                <w:szCs w:val="20"/>
              </w:rPr>
              <w:t>.</w:t>
            </w:r>
            <w:r w:rsidR="00166A37" w:rsidRPr="004F03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22F3">
              <w:rPr>
                <w:rFonts w:ascii="Verdana" w:hAnsi="Verdana"/>
                <w:sz w:val="20"/>
                <w:szCs w:val="20"/>
              </w:rPr>
              <w:t>Har man ikke mulighed for at aflyse ens møder, aftales det med teamet hvordan de aflyses</w:t>
            </w:r>
            <w:r w:rsidR="00DA6977" w:rsidRPr="001F22F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5F2611" w:rsidRDefault="005F2611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5F2611" w:rsidRDefault="005F2611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Går man syg hjem i løbet af arbejdsdagen orienteres lederen så vidt muligt. Har man givet lederen besked på vej hjem, behøver man ikke ringe morgenen efter.  </w:t>
            </w:r>
          </w:p>
          <w:p w:rsidR="00F8748F" w:rsidRDefault="00F8748F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F8748F" w:rsidRDefault="00F8748F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samme regler gør sig gældende for fravær ved børns 1. og 2. sygedag. Der henvises i øvrigt til at fravær ved børn sygdom ikke er en ret, men en mulighed som er betinget af at det kan lade sig gøre i forhold til driften på arbejdspladsen. Det er lederen</w:t>
            </w:r>
            <w:r w:rsidR="0069387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der afgør </w:t>
            </w:r>
            <w:r w:rsidR="00693879">
              <w:rPr>
                <w:rFonts w:ascii="Verdana" w:hAnsi="Verdana"/>
                <w:sz w:val="20"/>
                <w:szCs w:val="20"/>
              </w:rPr>
              <w:t>om medarbejderen kan holde barns 1. og 2. sygedag.</w:t>
            </w:r>
          </w:p>
          <w:p w:rsidR="00F8748F" w:rsidRDefault="00F8748F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5F08BE" w:rsidRPr="00F8748F" w:rsidRDefault="00F8748F" w:rsidP="00A463E2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F8748F">
              <w:rPr>
                <w:rFonts w:ascii="Verdana" w:hAnsi="Verdana"/>
                <w:b/>
                <w:sz w:val="20"/>
                <w:szCs w:val="20"/>
              </w:rPr>
              <w:t>Raskmelding</w:t>
            </w:r>
          </w:p>
          <w:p w:rsidR="00A463E2" w:rsidRDefault="00A463E2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4F0318">
              <w:rPr>
                <w:rFonts w:ascii="Verdana" w:hAnsi="Verdana"/>
                <w:sz w:val="20"/>
                <w:szCs w:val="20"/>
              </w:rPr>
              <w:t>Ra</w:t>
            </w:r>
            <w:r w:rsidR="005A3AF7">
              <w:rPr>
                <w:rFonts w:ascii="Verdana" w:hAnsi="Verdana"/>
                <w:sz w:val="20"/>
                <w:szCs w:val="20"/>
              </w:rPr>
              <w:t>skmelding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 skal i videst muligt omfang gives</w:t>
            </w:r>
            <w:r w:rsidR="005F2611">
              <w:rPr>
                <w:rFonts w:ascii="Verdana" w:hAnsi="Verdana"/>
                <w:sz w:val="20"/>
                <w:szCs w:val="20"/>
              </w:rPr>
              <w:t xml:space="preserve"> til ens team</w:t>
            </w:r>
            <w:r w:rsidR="00766F5E">
              <w:rPr>
                <w:rFonts w:ascii="Verdana" w:hAnsi="Verdana"/>
                <w:sz w:val="20"/>
                <w:szCs w:val="20"/>
              </w:rPr>
              <w:t xml:space="preserve"> eller leder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 dagen før arbejdet genoptages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Medarbejderen skal ved raskmelding henvende </w:t>
            </w:r>
            <w:r>
              <w:rPr>
                <w:rFonts w:ascii="Verdana" w:hAnsi="Verdana"/>
                <w:sz w:val="20"/>
                <w:szCs w:val="20"/>
              </w:rPr>
              <w:t>sig</w:t>
            </w:r>
            <w:r w:rsidR="005F2611">
              <w:rPr>
                <w:rFonts w:ascii="Verdana" w:hAnsi="Verdana"/>
                <w:sz w:val="20"/>
                <w:szCs w:val="20"/>
              </w:rPr>
              <w:t xml:space="preserve"> til Lene, Susan eller Lissi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for underskrivelse af anmeldelsen. Det er medarbejderens ansvar at få anmeldelsen underskrevet, så raskmeldingen kan indrapporteres </w:t>
            </w:r>
            <w:r>
              <w:rPr>
                <w:rFonts w:ascii="Verdana" w:hAnsi="Verdana"/>
                <w:sz w:val="20"/>
                <w:szCs w:val="20"/>
              </w:rPr>
              <w:t xml:space="preserve">i fraværssystemet. 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463E2" w:rsidRDefault="00A463E2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A463E2" w:rsidRDefault="00A463E2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henhold til de nye fraværsretningslinjer vil du på 6. og 14. fraværsdag blive kontakte telefonisk af din leder indenfor den ”normale” arbejdstid, der er på rådhuset</w:t>
            </w:r>
            <w:r w:rsidRPr="00D15D75">
              <w:rPr>
                <w:rFonts w:ascii="Verdana" w:hAnsi="Verdana"/>
                <w:sz w:val="20"/>
                <w:szCs w:val="20"/>
              </w:rPr>
              <w:t>. I tilfælde af at din leder er fraværende, vil en af de andre leder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D15D75">
              <w:rPr>
                <w:rFonts w:ascii="Verdana" w:hAnsi="Verdana"/>
                <w:sz w:val="20"/>
                <w:szCs w:val="20"/>
              </w:rPr>
              <w:t xml:space="preserve"> i </w:t>
            </w:r>
            <w:r>
              <w:rPr>
                <w:rFonts w:ascii="Verdana" w:hAnsi="Verdana"/>
                <w:sz w:val="20"/>
                <w:szCs w:val="20"/>
              </w:rPr>
              <w:t>afdelingen</w:t>
            </w:r>
            <w:r w:rsidRPr="00D15D75">
              <w:rPr>
                <w:rFonts w:ascii="Verdana" w:hAnsi="Verdana"/>
                <w:sz w:val="20"/>
                <w:szCs w:val="20"/>
              </w:rPr>
              <w:t xml:space="preserve"> kontakte dig.</w:t>
            </w:r>
          </w:p>
          <w:p w:rsidR="00A463E2" w:rsidRDefault="00A463E2" w:rsidP="00A463E2">
            <w:pPr>
              <w:spacing w:line="260" w:lineRule="atLeast"/>
              <w:rPr>
                <w:sz w:val="22"/>
                <w:szCs w:val="22"/>
              </w:rPr>
            </w:pPr>
          </w:p>
          <w:p w:rsidR="00A463E2" w:rsidRPr="007212E8" w:rsidRDefault="003709FC" w:rsidP="00A463E2">
            <w:pPr>
              <w:spacing w:line="26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Kontaktoplysninger til lederne:</w:t>
            </w:r>
          </w:p>
          <w:p w:rsidR="00A463E2" w:rsidRPr="007212E8" w:rsidRDefault="00A463E2" w:rsidP="00A463E2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1758"/>
              <w:gridCol w:w="1843"/>
            </w:tblGrid>
            <w:tr w:rsidR="00A463E2" w:rsidRPr="005853E8" w:rsidTr="000100C1">
              <w:tc>
                <w:tcPr>
                  <w:tcW w:w="1781" w:type="dxa"/>
                  <w:shd w:val="clear" w:color="auto" w:fill="auto"/>
                </w:tcPr>
                <w:p w:rsidR="00A463E2" w:rsidRPr="005853E8" w:rsidRDefault="00A463E2" w:rsidP="000100C1">
                  <w:pPr>
                    <w:spacing w:line="2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:rsidR="00A463E2" w:rsidRPr="005853E8" w:rsidRDefault="00A463E2" w:rsidP="006E6612">
                  <w:pPr>
                    <w:spacing w:line="260" w:lineRule="atLeas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b/>
                      <w:sz w:val="20"/>
                      <w:szCs w:val="20"/>
                    </w:rPr>
                    <w:t>Lokalnummer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463E2" w:rsidRPr="005853E8" w:rsidRDefault="00A463E2" w:rsidP="006E6612">
                  <w:pPr>
                    <w:spacing w:line="260" w:lineRule="atLeas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b/>
                      <w:sz w:val="20"/>
                      <w:szCs w:val="20"/>
                    </w:rPr>
                    <w:t>Mobilnummer</w:t>
                  </w:r>
                </w:p>
              </w:tc>
            </w:tr>
            <w:tr w:rsidR="00A463E2" w:rsidRPr="005853E8" w:rsidTr="000100C1">
              <w:tc>
                <w:tcPr>
                  <w:tcW w:w="1781" w:type="dxa"/>
                  <w:shd w:val="clear" w:color="auto" w:fill="auto"/>
                </w:tcPr>
                <w:p w:rsidR="00A463E2" w:rsidRPr="005853E8" w:rsidRDefault="00A463E2" w:rsidP="000100C1">
                  <w:pPr>
                    <w:spacing w:line="260" w:lineRule="atLeas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b/>
                      <w:sz w:val="20"/>
                      <w:szCs w:val="20"/>
                    </w:rPr>
                    <w:t>Susanne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A463E2" w:rsidRPr="005853E8" w:rsidRDefault="00A463E2" w:rsidP="006E6612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sz w:val="20"/>
                      <w:szCs w:val="20"/>
                    </w:rPr>
                    <w:t>4368 6743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463E2" w:rsidRPr="005853E8" w:rsidRDefault="00A463E2" w:rsidP="006E6612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sz w:val="20"/>
                      <w:szCs w:val="20"/>
                    </w:rPr>
                    <w:t>2845 1511</w:t>
                  </w:r>
                </w:p>
              </w:tc>
            </w:tr>
            <w:tr w:rsidR="003709FC" w:rsidRPr="005853E8" w:rsidTr="000100C1">
              <w:tc>
                <w:tcPr>
                  <w:tcW w:w="1781" w:type="dxa"/>
                  <w:shd w:val="clear" w:color="auto" w:fill="auto"/>
                </w:tcPr>
                <w:p w:rsidR="003709FC" w:rsidRPr="005853E8" w:rsidRDefault="003709FC" w:rsidP="00B32F9E">
                  <w:pPr>
                    <w:spacing w:line="260" w:lineRule="atLeas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b/>
                      <w:sz w:val="20"/>
                      <w:szCs w:val="20"/>
                    </w:rPr>
                    <w:t>Frederik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3709FC" w:rsidRPr="005853E8" w:rsidRDefault="003709FC" w:rsidP="00B32F9E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sz w:val="20"/>
                      <w:szCs w:val="20"/>
                    </w:rPr>
                    <w:t>4368 6776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09FC" w:rsidRPr="005853E8" w:rsidRDefault="003709FC" w:rsidP="00B32F9E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sz w:val="20"/>
                      <w:szCs w:val="20"/>
                    </w:rPr>
                    <w:t>2942 8415</w:t>
                  </w:r>
                </w:p>
              </w:tc>
            </w:tr>
            <w:tr w:rsidR="003709FC" w:rsidRPr="005853E8" w:rsidTr="000100C1">
              <w:tc>
                <w:tcPr>
                  <w:tcW w:w="1781" w:type="dxa"/>
                  <w:shd w:val="clear" w:color="auto" w:fill="auto"/>
                </w:tcPr>
                <w:p w:rsidR="003709FC" w:rsidRPr="005853E8" w:rsidRDefault="003709FC" w:rsidP="00B32F9E">
                  <w:pPr>
                    <w:spacing w:line="260" w:lineRule="atLeas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b/>
                      <w:sz w:val="20"/>
                      <w:szCs w:val="20"/>
                    </w:rPr>
                    <w:t>Hans-Henrik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3709FC" w:rsidRPr="005853E8" w:rsidRDefault="003709FC" w:rsidP="00B32F9E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sz w:val="20"/>
                      <w:szCs w:val="20"/>
                    </w:rPr>
                    <w:t>4368 6850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09FC" w:rsidRPr="005853E8" w:rsidRDefault="003709FC" w:rsidP="00B32F9E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53E8">
                    <w:rPr>
                      <w:rFonts w:ascii="Verdana" w:hAnsi="Verdana"/>
                      <w:sz w:val="20"/>
                      <w:szCs w:val="20"/>
                    </w:rPr>
                    <w:t>2960 7283</w:t>
                  </w:r>
                </w:p>
              </w:tc>
            </w:tr>
            <w:tr w:rsidR="003709FC" w:rsidRPr="005853E8" w:rsidTr="000100C1">
              <w:tc>
                <w:tcPr>
                  <w:tcW w:w="1781" w:type="dxa"/>
                  <w:shd w:val="clear" w:color="auto" w:fill="auto"/>
                </w:tcPr>
                <w:p w:rsidR="003709FC" w:rsidRPr="005853E8" w:rsidRDefault="003709FC" w:rsidP="000100C1">
                  <w:pPr>
                    <w:spacing w:line="260" w:lineRule="atLeas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Jesper Timler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3709FC" w:rsidRPr="005853E8" w:rsidRDefault="003709FC" w:rsidP="006E6612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4368 6825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09FC" w:rsidRPr="005853E8" w:rsidRDefault="003709FC" w:rsidP="006E6612">
                  <w:pPr>
                    <w:spacing w:line="26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2328 6787</w:t>
                  </w:r>
                </w:p>
              </w:tc>
            </w:tr>
          </w:tbl>
          <w:p w:rsidR="00DC66B7" w:rsidRDefault="00A463E2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F22F3" w:rsidRDefault="001F22F3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 kontaktoplysninger:</w:t>
            </w:r>
          </w:p>
          <w:p w:rsidR="001F22F3" w:rsidRDefault="001F22F3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758"/>
              <w:gridCol w:w="2552"/>
            </w:tblGrid>
            <w:tr w:rsidR="001F22F3" w:rsidRPr="00502F9A" w:rsidTr="00502F9A">
              <w:tc>
                <w:tcPr>
                  <w:tcW w:w="1129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b/>
                      <w:sz w:val="20"/>
                      <w:szCs w:val="20"/>
                    </w:rPr>
                    <w:t>Lokalnummer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b/>
                      <w:sz w:val="20"/>
                      <w:szCs w:val="20"/>
                    </w:rPr>
                    <w:t>Mail</w:t>
                  </w:r>
                </w:p>
              </w:tc>
            </w:tr>
            <w:tr w:rsidR="001F22F3" w:rsidRPr="00502F9A" w:rsidTr="00502F9A">
              <w:tc>
                <w:tcPr>
                  <w:tcW w:w="1129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b/>
                      <w:sz w:val="20"/>
                      <w:szCs w:val="20"/>
                    </w:rPr>
                    <w:t>Lene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sz w:val="20"/>
                      <w:szCs w:val="20"/>
                    </w:rPr>
                    <w:t>4368 6703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sz w:val="20"/>
                      <w:szCs w:val="20"/>
                    </w:rPr>
                    <w:t>ljg@albertslund.dk</w:t>
                  </w:r>
                </w:p>
              </w:tc>
            </w:tr>
            <w:tr w:rsidR="001F22F3" w:rsidRPr="00502F9A" w:rsidTr="00502F9A">
              <w:tc>
                <w:tcPr>
                  <w:tcW w:w="1129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b/>
                      <w:sz w:val="20"/>
                      <w:szCs w:val="20"/>
                    </w:rPr>
                    <w:t>Lissi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sz w:val="20"/>
                      <w:szCs w:val="20"/>
                    </w:rPr>
                    <w:t>4368 6835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sz w:val="20"/>
                      <w:szCs w:val="20"/>
                    </w:rPr>
                    <w:t>lip@albertslund.dk</w:t>
                  </w:r>
                </w:p>
              </w:tc>
            </w:tr>
            <w:tr w:rsidR="001F22F3" w:rsidRPr="00502F9A" w:rsidTr="00502F9A">
              <w:tc>
                <w:tcPr>
                  <w:tcW w:w="1129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b/>
                      <w:sz w:val="20"/>
                      <w:szCs w:val="20"/>
                    </w:rPr>
                    <w:t>Susan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sz w:val="20"/>
                      <w:szCs w:val="20"/>
                    </w:rPr>
                    <w:t>4368 6711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F22F3" w:rsidRPr="00502F9A" w:rsidRDefault="001F22F3" w:rsidP="00502F9A">
                  <w:pPr>
                    <w:widowControl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2F9A">
                    <w:rPr>
                      <w:rFonts w:ascii="Verdana" w:hAnsi="Verdana"/>
                      <w:sz w:val="20"/>
                      <w:szCs w:val="20"/>
                    </w:rPr>
                    <w:t>smn@albertslund.dk</w:t>
                  </w:r>
                </w:p>
              </w:tc>
            </w:tr>
          </w:tbl>
          <w:p w:rsidR="001F22F3" w:rsidRDefault="001F22F3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1F22F3" w:rsidRDefault="001F22F3" w:rsidP="00A463E2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F8748F" w:rsidRDefault="00F8748F" w:rsidP="00F8748F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4F0318">
              <w:rPr>
                <w:rFonts w:ascii="Verdana" w:hAnsi="Verdana"/>
                <w:sz w:val="20"/>
                <w:szCs w:val="20"/>
              </w:rPr>
              <w:t>Yderlig</w:t>
            </w:r>
            <w:r>
              <w:rPr>
                <w:rFonts w:ascii="Verdana" w:hAnsi="Verdana"/>
                <w:sz w:val="20"/>
                <w:szCs w:val="20"/>
              </w:rPr>
              <w:t>ere</w:t>
            </w:r>
            <w:r w:rsidRPr="004F0318">
              <w:rPr>
                <w:rFonts w:ascii="Verdana" w:hAnsi="Verdana"/>
                <w:sz w:val="20"/>
                <w:szCs w:val="20"/>
              </w:rPr>
              <w:t xml:space="preserve"> information vedrørende sygefravæ</w:t>
            </w:r>
            <w:r>
              <w:rPr>
                <w:rFonts w:ascii="Verdana" w:hAnsi="Verdana"/>
                <w:sz w:val="20"/>
                <w:szCs w:val="20"/>
              </w:rPr>
              <w:t xml:space="preserve">r </w:t>
            </w:r>
            <w:r w:rsidR="00C83E61">
              <w:rPr>
                <w:rFonts w:ascii="Verdana" w:hAnsi="Verdana"/>
                <w:sz w:val="20"/>
                <w:szCs w:val="20"/>
              </w:rPr>
              <w:t xml:space="preserve">finder du </w:t>
            </w:r>
            <w:r>
              <w:rPr>
                <w:rFonts w:ascii="Verdana" w:hAnsi="Verdana"/>
                <w:sz w:val="20"/>
                <w:szCs w:val="20"/>
              </w:rPr>
              <w:t>på medarbejdersiden:</w:t>
            </w:r>
          </w:p>
          <w:p w:rsidR="00F8748F" w:rsidRDefault="00F8748F" w:rsidP="00F8748F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F8748F" w:rsidRDefault="00B66C7F" w:rsidP="00DC66B7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DA6977" w:rsidRPr="00DA6977">
                <w:rPr>
                  <w:rStyle w:val="Hyperlink"/>
                  <w:rFonts w:ascii="Verdana" w:hAnsi="Verdana"/>
                  <w:sz w:val="20"/>
                  <w:szCs w:val="20"/>
                </w:rPr>
                <w:t>http://medarbejdersiden.albertslund.dk/vejledning-og-support/loen-personale/under-ansaettelsen/sygefravaer//</w:t>
              </w:r>
            </w:hyperlink>
          </w:p>
          <w:p w:rsidR="00F8748F" w:rsidRDefault="00F8748F" w:rsidP="00DC66B7">
            <w:pPr>
              <w:spacing w:line="260" w:lineRule="atLeast"/>
              <w:rPr>
                <w:sz w:val="22"/>
                <w:szCs w:val="22"/>
              </w:rPr>
            </w:pPr>
          </w:p>
          <w:p w:rsidR="00F8748F" w:rsidRPr="004F0318" w:rsidRDefault="00F8748F" w:rsidP="00DC66B7">
            <w:pPr>
              <w:spacing w:line="260" w:lineRule="atLeast"/>
              <w:rPr>
                <w:sz w:val="22"/>
                <w:szCs w:val="22"/>
              </w:rPr>
            </w:pPr>
          </w:p>
        </w:tc>
      </w:tr>
      <w:tr w:rsidR="00077F76" w:rsidTr="004F0318">
        <w:trPr>
          <w:trHeight w:val="885"/>
        </w:trPr>
        <w:tc>
          <w:tcPr>
            <w:tcW w:w="9778" w:type="dxa"/>
            <w:shd w:val="clear" w:color="auto" w:fill="auto"/>
            <w:vAlign w:val="center"/>
          </w:tcPr>
          <w:p w:rsidR="00077F76" w:rsidRPr="004F0318" w:rsidRDefault="00510C51" w:rsidP="001F22F3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Tiltrådt på afdelingsMED den 13/12-2013</w:t>
            </w:r>
            <w:r w:rsidR="0010562D">
              <w:rPr>
                <w:rFonts w:ascii="Verdana" w:hAnsi="Verdana"/>
                <w:sz w:val="20"/>
                <w:szCs w:val="20"/>
              </w:rPr>
              <w:t>. Revideret udgave tiltrådt den __</w:t>
            </w:r>
            <w:r w:rsidR="001F22F3">
              <w:rPr>
                <w:rFonts w:ascii="Verdana" w:hAnsi="Verdana"/>
                <w:sz w:val="20"/>
                <w:szCs w:val="20"/>
              </w:rPr>
              <w:t>4. marts 2015</w:t>
            </w:r>
            <w:r w:rsidR="0010562D">
              <w:rPr>
                <w:rFonts w:ascii="Verdana" w:hAnsi="Verdana"/>
                <w:sz w:val="20"/>
                <w:szCs w:val="20"/>
              </w:rPr>
              <w:t>_</w:t>
            </w:r>
          </w:p>
        </w:tc>
      </w:tr>
    </w:tbl>
    <w:p w:rsidR="001F22F3" w:rsidRDefault="001F22F3" w:rsidP="001F22F3">
      <w:pPr>
        <w:jc w:val="right"/>
      </w:pPr>
    </w:p>
    <w:p w:rsidR="001F22F3" w:rsidRDefault="001F22F3" w:rsidP="001F22F3">
      <w:pPr>
        <w:jc w:val="right"/>
      </w:pPr>
      <w:r>
        <w:t>Acadre 15/2334</w:t>
      </w:r>
    </w:p>
    <w:sectPr w:rsidR="001F22F3" w:rsidSect="0050444E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FC5565"/>
    <w:rsid w:val="000100C1"/>
    <w:rsid w:val="000452A1"/>
    <w:rsid w:val="0004765F"/>
    <w:rsid w:val="00065105"/>
    <w:rsid w:val="000703C6"/>
    <w:rsid w:val="00077F76"/>
    <w:rsid w:val="00094366"/>
    <w:rsid w:val="000A2FE5"/>
    <w:rsid w:val="000F09E7"/>
    <w:rsid w:val="00103B28"/>
    <w:rsid w:val="0010562D"/>
    <w:rsid w:val="001130A3"/>
    <w:rsid w:val="001156B2"/>
    <w:rsid w:val="00166A37"/>
    <w:rsid w:val="001F22F3"/>
    <w:rsid w:val="002125FE"/>
    <w:rsid w:val="00217F19"/>
    <w:rsid w:val="0022072C"/>
    <w:rsid w:val="002362A6"/>
    <w:rsid w:val="00251266"/>
    <w:rsid w:val="00290B18"/>
    <w:rsid w:val="002B46CF"/>
    <w:rsid w:val="002C5EBC"/>
    <w:rsid w:val="002D4A41"/>
    <w:rsid w:val="002F27FB"/>
    <w:rsid w:val="0030541F"/>
    <w:rsid w:val="0030760A"/>
    <w:rsid w:val="00315B28"/>
    <w:rsid w:val="00330AF3"/>
    <w:rsid w:val="003709FC"/>
    <w:rsid w:val="003B2529"/>
    <w:rsid w:val="003B2563"/>
    <w:rsid w:val="003C0642"/>
    <w:rsid w:val="003C7B7C"/>
    <w:rsid w:val="003D23A7"/>
    <w:rsid w:val="003E4C80"/>
    <w:rsid w:val="0041372D"/>
    <w:rsid w:val="004212D6"/>
    <w:rsid w:val="004228FE"/>
    <w:rsid w:val="00430D28"/>
    <w:rsid w:val="00436008"/>
    <w:rsid w:val="00466C94"/>
    <w:rsid w:val="00470450"/>
    <w:rsid w:val="0047530A"/>
    <w:rsid w:val="00475ACE"/>
    <w:rsid w:val="00485B37"/>
    <w:rsid w:val="00491D15"/>
    <w:rsid w:val="00493145"/>
    <w:rsid w:val="004A0270"/>
    <w:rsid w:val="004A2AA3"/>
    <w:rsid w:val="004C42C0"/>
    <w:rsid w:val="004D02FA"/>
    <w:rsid w:val="004D326B"/>
    <w:rsid w:val="004D4351"/>
    <w:rsid w:val="004F0318"/>
    <w:rsid w:val="004F1B7D"/>
    <w:rsid w:val="00502F9A"/>
    <w:rsid w:val="0050444E"/>
    <w:rsid w:val="00510C51"/>
    <w:rsid w:val="005203B0"/>
    <w:rsid w:val="00533820"/>
    <w:rsid w:val="00535F93"/>
    <w:rsid w:val="00551DD3"/>
    <w:rsid w:val="00574A93"/>
    <w:rsid w:val="00583C18"/>
    <w:rsid w:val="005929C2"/>
    <w:rsid w:val="005A3AF7"/>
    <w:rsid w:val="005B3233"/>
    <w:rsid w:val="005B4D30"/>
    <w:rsid w:val="005B751F"/>
    <w:rsid w:val="005E01F5"/>
    <w:rsid w:val="005F08BE"/>
    <w:rsid w:val="005F2611"/>
    <w:rsid w:val="00606A66"/>
    <w:rsid w:val="00624644"/>
    <w:rsid w:val="00630788"/>
    <w:rsid w:val="00634C75"/>
    <w:rsid w:val="00654CDC"/>
    <w:rsid w:val="0066584B"/>
    <w:rsid w:val="00674454"/>
    <w:rsid w:val="006840D8"/>
    <w:rsid w:val="00693879"/>
    <w:rsid w:val="006971FC"/>
    <w:rsid w:val="006A3B71"/>
    <w:rsid w:val="006A6738"/>
    <w:rsid w:val="006E6612"/>
    <w:rsid w:val="007202F3"/>
    <w:rsid w:val="00766F5E"/>
    <w:rsid w:val="00773E7E"/>
    <w:rsid w:val="007829E1"/>
    <w:rsid w:val="0080344F"/>
    <w:rsid w:val="00845132"/>
    <w:rsid w:val="00856771"/>
    <w:rsid w:val="00865B63"/>
    <w:rsid w:val="00875916"/>
    <w:rsid w:val="00895E65"/>
    <w:rsid w:val="008B774B"/>
    <w:rsid w:val="009304B2"/>
    <w:rsid w:val="0095770B"/>
    <w:rsid w:val="00960196"/>
    <w:rsid w:val="0097741A"/>
    <w:rsid w:val="009E2197"/>
    <w:rsid w:val="00A027C3"/>
    <w:rsid w:val="00A07128"/>
    <w:rsid w:val="00A20564"/>
    <w:rsid w:val="00A463E2"/>
    <w:rsid w:val="00A71415"/>
    <w:rsid w:val="00A72AE2"/>
    <w:rsid w:val="00A92DC7"/>
    <w:rsid w:val="00A9641F"/>
    <w:rsid w:val="00AA70FF"/>
    <w:rsid w:val="00AC1F9A"/>
    <w:rsid w:val="00AC42E1"/>
    <w:rsid w:val="00AC575A"/>
    <w:rsid w:val="00AD4433"/>
    <w:rsid w:val="00AE4458"/>
    <w:rsid w:val="00AF39FB"/>
    <w:rsid w:val="00B05E2B"/>
    <w:rsid w:val="00B3027C"/>
    <w:rsid w:val="00B3038B"/>
    <w:rsid w:val="00B32F9E"/>
    <w:rsid w:val="00B373D6"/>
    <w:rsid w:val="00B423B0"/>
    <w:rsid w:val="00B556E6"/>
    <w:rsid w:val="00B66C7F"/>
    <w:rsid w:val="00B91613"/>
    <w:rsid w:val="00B96BEF"/>
    <w:rsid w:val="00BF0E0D"/>
    <w:rsid w:val="00C43DDD"/>
    <w:rsid w:val="00C83E61"/>
    <w:rsid w:val="00C84B1B"/>
    <w:rsid w:val="00CB6A71"/>
    <w:rsid w:val="00CC188F"/>
    <w:rsid w:val="00CD51AD"/>
    <w:rsid w:val="00D05076"/>
    <w:rsid w:val="00D140F0"/>
    <w:rsid w:val="00D15D75"/>
    <w:rsid w:val="00D3546A"/>
    <w:rsid w:val="00D439C4"/>
    <w:rsid w:val="00D711F5"/>
    <w:rsid w:val="00D75096"/>
    <w:rsid w:val="00D76859"/>
    <w:rsid w:val="00D77556"/>
    <w:rsid w:val="00DA2506"/>
    <w:rsid w:val="00DA6977"/>
    <w:rsid w:val="00DB787A"/>
    <w:rsid w:val="00DC66B7"/>
    <w:rsid w:val="00DE2529"/>
    <w:rsid w:val="00E2531E"/>
    <w:rsid w:val="00E4345A"/>
    <w:rsid w:val="00E45EEC"/>
    <w:rsid w:val="00E92FC1"/>
    <w:rsid w:val="00E97348"/>
    <w:rsid w:val="00EA098A"/>
    <w:rsid w:val="00EF45A5"/>
    <w:rsid w:val="00F03C9B"/>
    <w:rsid w:val="00F47762"/>
    <w:rsid w:val="00F53184"/>
    <w:rsid w:val="00F601D1"/>
    <w:rsid w:val="00F8748F"/>
    <w:rsid w:val="00F92904"/>
    <w:rsid w:val="00F945BA"/>
    <w:rsid w:val="00FC5565"/>
    <w:rsid w:val="00FE0552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C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5565"/>
    <w:rPr>
      <w:color w:val="0000FF"/>
      <w:u w:val="single"/>
    </w:rPr>
  </w:style>
  <w:style w:type="character" w:styleId="Kommentarhenvisning">
    <w:name w:val="annotation reference"/>
    <w:semiHidden/>
    <w:rsid w:val="00217F19"/>
    <w:rPr>
      <w:sz w:val="16"/>
      <w:szCs w:val="16"/>
    </w:rPr>
  </w:style>
  <w:style w:type="paragraph" w:styleId="Kommentartekst">
    <w:name w:val="annotation text"/>
    <w:basedOn w:val="Normal"/>
    <w:semiHidden/>
    <w:rsid w:val="00217F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17F19"/>
    <w:rPr>
      <w:b/>
      <w:bCs/>
    </w:rPr>
  </w:style>
  <w:style w:type="paragraph" w:styleId="Markeringsbobletekst">
    <w:name w:val="Balloon Text"/>
    <w:basedOn w:val="Normal"/>
    <w:semiHidden/>
    <w:rsid w:val="00217F19"/>
    <w:rPr>
      <w:rFonts w:ascii="Tahoma" w:hAnsi="Tahoma" w:cs="Tahoma"/>
      <w:sz w:val="16"/>
      <w:szCs w:val="16"/>
    </w:rPr>
  </w:style>
  <w:style w:type="character" w:styleId="BesgtHyperlink">
    <w:name w:val="FollowedHyperlink"/>
    <w:rsid w:val="00B3038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C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5565"/>
    <w:rPr>
      <w:color w:val="0000FF"/>
      <w:u w:val="single"/>
    </w:rPr>
  </w:style>
  <w:style w:type="character" w:styleId="Kommentarhenvisning">
    <w:name w:val="annotation reference"/>
    <w:semiHidden/>
    <w:rsid w:val="00217F19"/>
    <w:rPr>
      <w:sz w:val="16"/>
      <w:szCs w:val="16"/>
    </w:rPr>
  </w:style>
  <w:style w:type="paragraph" w:styleId="Kommentartekst">
    <w:name w:val="annotation text"/>
    <w:basedOn w:val="Normal"/>
    <w:semiHidden/>
    <w:rsid w:val="00217F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17F19"/>
    <w:rPr>
      <w:b/>
      <w:bCs/>
    </w:rPr>
  </w:style>
  <w:style w:type="paragraph" w:styleId="Markeringsbobletekst">
    <w:name w:val="Balloon Text"/>
    <w:basedOn w:val="Normal"/>
    <w:semiHidden/>
    <w:rsid w:val="00217F19"/>
    <w:rPr>
      <w:rFonts w:ascii="Tahoma" w:hAnsi="Tahoma" w:cs="Tahoma"/>
      <w:sz w:val="16"/>
      <w:szCs w:val="16"/>
    </w:rPr>
  </w:style>
  <w:style w:type="character" w:styleId="BesgtHyperlink">
    <w:name w:val="FollowedHyperlink"/>
    <w:rsid w:val="00B303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arbejdersiden.albertslund.dk/vejledning-og-support/loen-personale/under-ansaettelsen/sygefrava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1ED7890C</Template>
  <TotalTime>1</TotalTime>
  <Pages>1</Pages>
  <Words>343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Retningslinie for ……………</vt:lpstr>
    </vt:vector>
  </TitlesOfParts>
  <Company>Albertslund Kommune</Company>
  <LinksUpToDate>false</LinksUpToDate>
  <CharactersWithSpaces>2432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http://medarbejdersiden.albertslund.dk/vejledning-og-support/loen-personale/under-ansaettelsen/sygefravaer/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Retningslinie for ……………</dc:title>
  <dc:creator>lrc</dc:creator>
  <cp:lastModifiedBy>Windows User</cp:lastModifiedBy>
  <cp:revision>2</cp:revision>
  <cp:lastPrinted>2015-02-10T09:06:00Z</cp:lastPrinted>
  <dcterms:created xsi:type="dcterms:W3CDTF">2015-03-13T12:31:00Z</dcterms:created>
  <dcterms:modified xsi:type="dcterms:W3CDTF">2015-03-13T12:31:00Z</dcterms:modified>
</cp:coreProperties>
</file>