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12" w:rsidRDefault="001A5C12" w:rsidP="001A5C12">
      <w:pPr>
        <w:pStyle w:val="Overskrift2"/>
      </w:pPr>
      <w:r>
        <w:t>Plan for tilbagevenden til arbejdet efter sygemelding</w:t>
      </w:r>
    </w:p>
    <w:p w:rsidR="001A5C12" w:rsidRDefault="001A5C12" w:rsidP="001A5C12">
      <w:r>
        <w:t xml:space="preserve">Det er vigtigt, at have lavet en konkret plan for </w:t>
      </w:r>
      <w:r w:rsidR="0052031F">
        <w:t>delvis tilbagevenden til arbejdet efter sygdom</w:t>
      </w:r>
    </w:p>
    <w:p w:rsidR="001A5C12" w:rsidRDefault="001A5C12" w:rsidP="001A5C12">
      <w:r>
        <w:t>Det nedenstående skal derfor kun ses som overordnede ideer, der efterfølgende tilpasses jeres situation.</w:t>
      </w:r>
    </w:p>
    <w:p w:rsidR="00DB5590" w:rsidRPr="001A5C12" w:rsidRDefault="00DB5590" w:rsidP="001A5C12">
      <w:r>
        <w:t xml:space="preserve">I skal sammen skrive tidspunkter ind i skemaet. </w:t>
      </w:r>
    </w:p>
    <w:tbl>
      <w:tblPr>
        <w:tblStyle w:val="Tabel-Gitter"/>
        <w:tblW w:w="5000" w:type="pct"/>
        <w:tblLook w:val="04A0" w:firstRow="1" w:lastRow="0" w:firstColumn="1" w:lastColumn="0" w:noHBand="0" w:noVBand="1"/>
      </w:tblPr>
      <w:tblGrid>
        <w:gridCol w:w="873"/>
        <w:gridCol w:w="1470"/>
        <w:gridCol w:w="1431"/>
        <w:gridCol w:w="1476"/>
        <w:gridCol w:w="1453"/>
        <w:gridCol w:w="1471"/>
        <w:gridCol w:w="1680"/>
      </w:tblGrid>
      <w:tr w:rsidR="00DB5590" w:rsidRPr="008B4CB9" w:rsidTr="00DB5590">
        <w:trPr>
          <w:trHeight w:val="567"/>
        </w:trPr>
        <w:tc>
          <w:tcPr>
            <w:tcW w:w="415" w:type="pct"/>
            <w:shd w:val="clear" w:color="auto" w:fill="DAEEF3" w:themeFill="accent5" w:themeFillTint="33"/>
            <w:vAlign w:val="center"/>
          </w:tcPr>
          <w:p w:rsidR="00A2747C" w:rsidRPr="008B4CB9" w:rsidRDefault="00DB5590" w:rsidP="008B4CB9">
            <w:pPr>
              <w:jc w:val="center"/>
              <w:rPr>
                <w:sz w:val="24"/>
              </w:rPr>
            </w:pPr>
            <w:proofErr w:type="spellStart"/>
            <w:r w:rsidRPr="008B4CB9">
              <w:rPr>
                <w:sz w:val="24"/>
              </w:rPr>
              <w:t>U</w:t>
            </w:r>
            <w:r w:rsidR="00A2747C" w:rsidRPr="008B4CB9">
              <w:rPr>
                <w:sz w:val="24"/>
              </w:rPr>
              <w:t>ge</w:t>
            </w:r>
            <w:r>
              <w:rPr>
                <w:sz w:val="24"/>
              </w:rPr>
              <w:t>nr</w:t>
            </w:r>
            <w:proofErr w:type="spellEnd"/>
            <w:r>
              <w:rPr>
                <w:sz w:val="24"/>
              </w:rPr>
              <w:t>.</w:t>
            </w:r>
          </w:p>
        </w:tc>
        <w:tc>
          <w:tcPr>
            <w:tcW w:w="740" w:type="pct"/>
            <w:shd w:val="clear" w:color="auto" w:fill="F2DBDB" w:themeFill="accent2" w:themeFillTint="33"/>
            <w:vAlign w:val="center"/>
          </w:tcPr>
          <w:p w:rsidR="00A2747C" w:rsidRPr="008B4CB9" w:rsidRDefault="00A2747C" w:rsidP="008B4CB9">
            <w:pPr>
              <w:jc w:val="center"/>
              <w:rPr>
                <w:sz w:val="24"/>
              </w:rPr>
            </w:pPr>
            <w:r w:rsidRPr="008B4CB9">
              <w:rPr>
                <w:sz w:val="24"/>
              </w:rPr>
              <w:t>mandag</w:t>
            </w:r>
          </w:p>
        </w:tc>
        <w:tc>
          <w:tcPr>
            <w:tcW w:w="721" w:type="pct"/>
            <w:shd w:val="clear" w:color="auto" w:fill="F2DBDB" w:themeFill="accent2" w:themeFillTint="33"/>
            <w:vAlign w:val="center"/>
          </w:tcPr>
          <w:p w:rsidR="00A2747C" w:rsidRPr="008B4CB9" w:rsidRDefault="00A2747C" w:rsidP="008B4CB9">
            <w:pPr>
              <w:jc w:val="center"/>
              <w:rPr>
                <w:sz w:val="24"/>
              </w:rPr>
            </w:pPr>
            <w:r w:rsidRPr="008B4CB9">
              <w:rPr>
                <w:sz w:val="24"/>
              </w:rPr>
              <w:t>tirsdag</w:t>
            </w:r>
          </w:p>
        </w:tc>
        <w:tc>
          <w:tcPr>
            <w:tcW w:w="743" w:type="pct"/>
            <w:shd w:val="clear" w:color="auto" w:fill="F2DBDB" w:themeFill="accent2" w:themeFillTint="33"/>
            <w:vAlign w:val="center"/>
          </w:tcPr>
          <w:p w:rsidR="00A2747C" w:rsidRPr="008B4CB9" w:rsidRDefault="00A2747C" w:rsidP="008B4CB9">
            <w:pPr>
              <w:jc w:val="center"/>
              <w:rPr>
                <w:sz w:val="24"/>
              </w:rPr>
            </w:pPr>
            <w:r w:rsidRPr="008B4CB9">
              <w:rPr>
                <w:sz w:val="24"/>
              </w:rPr>
              <w:t>onsdage</w:t>
            </w:r>
          </w:p>
        </w:tc>
        <w:tc>
          <w:tcPr>
            <w:tcW w:w="731" w:type="pct"/>
            <w:shd w:val="clear" w:color="auto" w:fill="F2DBDB" w:themeFill="accent2" w:themeFillTint="33"/>
            <w:vAlign w:val="center"/>
          </w:tcPr>
          <w:p w:rsidR="00A2747C" w:rsidRPr="008B4CB9" w:rsidRDefault="00A2747C" w:rsidP="008B4CB9">
            <w:pPr>
              <w:jc w:val="center"/>
              <w:rPr>
                <w:sz w:val="24"/>
              </w:rPr>
            </w:pPr>
            <w:r w:rsidRPr="008B4CB9">
              <w:rPr>
                <w:sz w:val="24"/>
              </w:rPr>
              <w:t>torsdag</w:t>
            </w:r>
          </w:p>
        </w:tc>
        <w:tc>
          <w:tcPr>
            <w:tcW w:w="740" w:type="pct"/>
            <w:shd w:val="clear" w:color="auto" w:fill="F2DBDB" w:themeFill="accent2" w:themeFillTint="33"/>
            <w:vAlign w:val="center"/>
          </w:tcPr>
          <w:p w:rsidR="00A2747C" w:rsidRPr="008B4CB9" w:rsidRDefault="00A2747C" w:rsidP="00E62A90">
            <w:pPr>
              <w:jc w:val="center"/>
              <w:rPr>
                <w:sz w:val="24"/>
              </w:rPr>
            </w:pPr>
            <w:r w:rsidRPr="008B4CB9">
              <w:rPr>
                <w:sz w:val="24"/>
              </w:rPr>
              <w:t>freda</w:t>
            </w:r>
            <w:r>
              <w:rPr>
                <w:sz w:val="24"/>
              </w:rPr>
              <w:t>g</w:t>
            </w:r>
          </w:p>
        </w:tc>
        <w:tc>
          <w:tcPr>
            <w:tcW w:w="845" w:type="pct"/>
            <w:shd w:val="clear" w:color="auto" w:fill="E5DFEC" w:themeFill="accent4" w:themeFillTint="33"/>
          </w:tcPr>
          <w:p w:rsidR="00A2747C" w:rsidRPr="008B4CB9" w:rsidRDefault="00A2747C" w:rsidP="00A2747C">
            <w:pPr>
              <w:jc w:val="center"/>
              <w:rPr>
                <w:sz w:val="24"/>
              </w:rPr>
            </w:pPr>
            <w:r>
              <w:rPr>
                <w:sz w:val="24"/>
              </w:rPr>
              <w:t xml:space="preserve">Dag og tid </w:t>
            </w:r>
            <w:proofErr w:type="spellStart"/>
            <w:r>
              <w:rPr>
                <w:sz w:val="24"/>
              </w:rPr>
              <w:t>opfølgende</w:t>
            </w:r>
            <w:proofErr w:type="spellEnd"/>
            <w:r>
              <w:rPr>
                <w:sz w:val="24"/>
              </w:rPr>
              <w:t xml:space="preserve"> samtale</w:t>
            </w: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A2747C">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r w:rsidR="00DB5590" w:rsidRPr="008B4CB9" w:rsidTr="00A2747C">
        <w:trPr>
          <w:trHeight w:val="567"/>
        </w:trPr>
        <w:tc>
          <w:tcPr>
            <w:tcW w:w="415" w:type="pct"/>
            <w:shd w:val="clear" w:color="auto" w:fill="DAEEF3" w:themeFill="accent5" w:themeFillTint="33"/>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721" w:type="pct"/>
            <w:vAlign w:val="center"/>
          </w:tcPr>
          <w:p w:rsidR="00A2747C" w:rsidRPr="008B4CB9" w:rsidRDefault="00A2747C" w:rsidP="008B4CB9">
            <w:pPr>
              <w:jc w:val="center"/>
              <w:rPr>
                <w:sz w:val="24"/>
              </w:rPr>
            </w:pPr>
          </w:p>
        </w:tc>
        <w:tc>
          <w:tcPr>
            <w:tcW w:w="743" w:type="pct"/>
            <w:vAlign w:val="center"/>
          </w:tcPr>
          <w:p w:rsidR="00A2747C" w:rsidRPr="008B4CB9" w:rsidRDefault="00A2747C" w:rsidP="008B4CB9">
            <w:pPr>
              <w:jc w:val="center"/>
              <w:rPr>
                <w:sz w:val="24"/>
              </w:rPr>
            </w:pPr>
          </w:p>
        </w:tc>
        <w:tc>
          <w:tcPr>
            <w:tcW w:w="731" w:type="pct"/>
            <w:vAlign w:val="center"/>
          </w:tcPr>
          <w:p w:rsidR="00A2747C" w:rsidRPr="008B4CB9" w:rsidRDefault="00A2747C" w:rsidP="008B4CB9">
            <w:pPr>
              <w:jc w:val="center"/>
              <w:rPr>
                <w:sz w:val="24"/>
              </w:rPr>
            </w:pPr>
          </w:p>
        </w:tc>
        <w:tc>
          <w:tcPr>
            <w:tcW w:w="740" w:type="pct"/>
            <w:vAlign w:val="center"/>
          </w:tcPr>
          <w:p w:rsidR="00A2747C" w:rsidRPr="008B4CB9" w:rsidRDefault="00A2747C" w:rsidP="008B4CB9">
            <w:pPr>
              <w:jc w:val="center"/>
              <w:rPr>
                <w:sz w:val="24"/>
              </w:rPr>
            </w:pPr>
          </w:p>
        </w:tc>
        <w:tc>
          <w:tcPr>
            <w:tcW w:w="845" w:type="pct"/>
          </w:tcPr>
          <w:p w:rsidR="00A2747C" w:rsidRPr="008B4CB9" w:rsidRDefault="00A2747C" w:rsidP="008B4CB9">
            <w:pPr>
              <w:jc w:val="center"/>
              <w:rPr>
                <w:sz w:val="24"/>
              </w:rPr>
            </w:pPr>
          </w:p>
        </w:tc>
      </w:tr>
    </w:tbl>
    <w:p w:rsidR="001A5C12" w:rsidRDefault="001A5C12" w:rsidP="001A5C12"/>
    <w:p w:rsidR="00E62A90" w:rsidRDefault="00E62A90">
      <w:pPr>
        <w:rPr>
          <w:rFonts w:asciiTheme="majorHAnsi" w:eastAsiaTheme="majorEastAsia" w:hAnsiTheme="majorHAnsi" w:cstheme="majorBidi"/>
          <w:b/>
          <w:bCs/>
          <w:color w:val="4F81BD" w:themeColor="accent1"/>
          <w:sz w:val="26"/>
          <w:szCs w:val="26"/>
        </w:rPr>
      </w:pPr>
      <w:r>
        <w:br w:type="page"/>
      </w:r>
    </w:p>
    <w:p w:rsidR="006717BB" w:rsidRDefault="001A5C12" w:rsidP="001A5C12">
      <w:pPr>
        <w:pStyle w:val="Overskrift2"/>
      </w:pPr>
      <w:r>
        <w:lastRenderedPageBreak/>
        <w:t xml:space="preserve">Arbejdsopgaver under optrapning efter </w:t>
      </w:r>
      <w:r w:rsidR="00E62A90">
        <w:t>stress</w:t>
      </w:r>
      <w:r>
        <w:t>sygemelding</w:t>
      </w:r>
    </w:p>
    <w:p w:rsidR="006717BB" w:rsidRPr="005878E8" w:rsidRDefault="006717BB" w:rsidP="006717BB">
      <w:pPr>
        <w:rPr>
          <w:sz w:val="24"/>
        </w:rPr>
      </w:pPr>
      <w:r w:rsidRPr="005878E8">
        <w:rPr>
          <w:sz w:val="24"/>
        </w:rPr>
        <w:t>Det kan være en god ide at skabe overblik over alle medarbejderens  arbejdsopgaver, ved at skrive dem ned og inddele dem efter, hvor problematiske de er, fx ved at give dem farverne GRØN, GUL og RØD:</w:t>
      </w:r>
    </w:p>
    <w:p w:rsidR="006717BB" w:rsidRPr="005878E8" w:rsidRDefault="00E62A90" w:rsidP="00E62A90">
      <w:pPr>
        <w:rPr>
          <w:sz w:val="24"/>
        </w:rPr>
      </w:pPr>
      <w:r w:rsidRPr="005878E8">
        <w:rPr>
          <w:sz w:val="24"/>
        </w:rPr>
        <w:t xml:space="preserve">Plan for tilbagevenden til arbejdet handler </w:t>
      </w:r>
      <w:r w:rsidR="0020359A">
        <w:rPr>
          <w:sz w:val="24"/>
        </w:rPr>
        <w:t xml:space="preserve">ikke </w:t>
      </w:r>
      <w:r w:rsidRPr="005878E8">
        <w:rPr>
          <w:sz w:val="24"/>
        </w:rPr>
        <w:t xml:space="preserve">udelukkende om, hvor mange timer, medarbejderen bør/kan være på arbejdet. Hvilke opgaver, der skal løses i disse timer, skal også aftales. Her kan det være en god ide at skabe overblik over alle </w:t>
      </w:r>
      <w:r w:rsidR="005878E8" w:rsidRPr="005878E8">
        <w:rPr>
          <w:sz w:val="24"/>
        </w:rPr>
        <w:t>arbejdsopgave</w:t>
      </w:r>
      <w:r w:rsidRPr="005878E8">
        <w:rPr>
          <w:sz w:val="24"/>
        </w:rPr>
        <w:t>r</w:t>
      </w:r>
      <w:r w:rsidR="005878E8" w:rsidRPr="005878E8">
        <w:rPr>
          <w:sz w:val="24"/>
        </w:rPr>
        <w:t>ne</w:t>
      </w:r>
      <w:r w:rsidRPr="005878E8">
        <w:rPr>
          <w:sz w:val="24"/>
        </w:rPr>
        <w:t>, ved at skrive dem ned og inddele dem efter, hvor problematiske de er, fx ved at give dem farverne GRØN, GUL og RØD</w:t>
      </w:r>
      <w:r w:rsidR="00A9445E">
        <w:rPr>
          <w:rStyle w:val="Fodnotehenvisning"/>
          <w:sz w:val="24"/>
        </w:rPr>
        <w:footnoteReference w:id="1"/>
      </w:r>
      <w:r w:rsidRPr="005878E8">
        <w:rPr>
          <w:sz w:val="24"/>
        </w:rPr>
        <w:t>:</w:t>
      </w:r>
    </w:p>
    <w:tbl>
      <w:tblPr>
        <w:tblStyle w:val="Tabel-Gitter"/>
        <w:tblW w:w="0" w:type="auto"/>
        <w:tblLook w:val="04A0" w:firstRow="1" w:lastRow="0" w:firstColumn="1" w:lastColumn="0" w:noHBand="0" w:noVBand="1"/>
      </w:tblPr>
      <w:tblGrid>
        <w:gridCol w:w="575"/>
        <w:gridCol w:w="4211"/>
        <w:gridCol w:w="5068"/>
      </w:tblGrid>
      <w:tr w:rsidR="006717BB" w:rsidRPr="006717BB" w:rsidTr="006717BB">
        <w:tc>
          <w:tcPr>
            <w:tcW w:w="0" w:type="auto"/>
          </w:tcPr>
          <w:p w:rsidR="006717BB" w:rsidRPr="006717BB" w:rsidRDefault="006717BB" w:rsidP="006717BB">
            <w:pPr>
              <w:rPr>
                <w:b/>
              </w:rPr>
            </w:pPr>
            <w:r w:rsidRPr="006717BB">
              <w:rPr>
                <w:b/>
              </w:rPr>
              <w:t xml:space="preserve">Uge </w:t>
            </w:r>
          </w:p>
        </w:tc>
        <w:tc>
          <w:tcPr>
            <w:tcW w:w="4211" w:type="dxa"/>
          </w:tcPr>
          <w:p w:rsidR="006717BB" w:rsidRPr="006717BB" w:rsidRDefault="006717BB" w:rsidP="006717BB">
            <w:pPr>
              <w:rPr>
                <w:b/>
              </w:rPr>
            </w:pPr>
            <w:r>
              <w:rPr>
                <w:b/>
              </w:rPr>
              <w:t>Opgave kompleksitet</w:t>
            </w:r>
          </w:p>
        </w:tc>
        <w:tc>
          <w:tcPr>
            <w:tcW w:w="5068" w:type="dxa"/>
          </w:tcPr>
          <w:p w:rsidR="006717BB" w:rsidRPr="006717BB" w:rsidRDefault="006717BB" w:rsidP="006717BB">
            <w:pPr>
              <w:rPr>
                <w:b/>
              </w:rPr>
            </w:pPr>
            <w:r w:rsidRPr="006717BB">
              <w:rPr>
                <w:b/>
              </w:rPr>
              <w:t>Hvilke opgaver</w:t>
            </w:r>
          </w:p>
        </w:tc>
      </w:tr>
      <w:tr w:rsidR="006717BB" w:rsidTr="006717BB">
        <w:tc>
          <w:tcPr>
            <w:tcW w:w="0" w:type="auto"/>
          </w:tcPr>
          <w:p w:rsidR="006717BB" w:rsidRPr="005878E8" w:rsidRDefault="006717BB" w:rsidP="006717BB">
            <w:pPr>
              <w:rPr>
                <w:sz w:val="24"/>
                <w:highlight w:val="green"/>
              </w:rPr>
            </w:pPr>
          </w:p>
        </w:tc>
        <w:tc>
          <w:tcPr>
            <w:tcW w:w="4211" w:type="dxa"/>
          </w:tcPr>
          <w:p w:rsidR="006717BB" w:rsidRPr="005878E8" w:rsidRDefault="006717BB" w:rsidP="006717BB">
            <w:pPr>
              <w:rPr>
                <w:sz w:val="24"/>
              </w:rPr>
            </w:pPr>
            <w:r w:rsidRPr="005878E8">
              <w:rPr>
                <w:sz w:val="24"/>
                <w:highlight w:val="green"/>
              </w:rPr>
              <w:t>Grøn</w:t>
            </w:r>
            <w:r w:rsidRPr="005878E8">
              <w:rPr>
                <w:sz w:val="24"/>
              </w:rPr>
              <w:t xml:space="preserve"> = kan klares ved opstarten</w:t>
            </w:r>
          </w:p>
          <w:p w:rsidR="006717BB" w:rsidRPr="005878E8" w:rsidRDefault="006717BB" w:rsidP="006717BB">
            <w:pPr>
              <w:pStyle w:val="Listeafsnit"/>
              <w:numPr>
                <w:ilvl w:val="0"/>
                <w:numId w:val="4"/>
              </w:numPr>
              <w:rPr>
                <w:sz w:val="24"/>
              </w:rPr>
            </w:pPr>
            <w:r w:rsidRPr="005878E8">
              <w:rPr>
                <w:sz w:val="24"/>
              </w:rPr>
              <w:t>Rutineprægede opgaver. Opgaver præget af forudsigelighed</w:t>
            </w:r>
          </w:p>
          <w:p w:rsidR="006717BB" w:rsidRDefault="006717BB" w:rsidP="006717BB">
            <w:pPr>
              <w:rPr>
                <w:sz w:val="24"/>
              </w:rPr>
            </w:pPr>
          </w:p>
          <w:p w:rsidR="00344D12" w:rsidRDefault="00344D12" w:rsidP="006717BB">
            <w:pPr>
              <w:rPr>
                <w:sz w:val="24"/>
              </w:rPr>
            </w:pPr>
          </w:p>
          <w:p w:rsidR="00344D12" w:rsidRDefault="00344D12" w:rsidP="006717BB">
            <w:pPr>
              <w:rPr>
                <w:sz w:val="24"/>
              </w:rPr>
            </w:pPr>
          </w:p>
          <w:p w:rsidR="00344D12" w:rsidRDefault="00344D12" w:rsidP="006717BB">
            <w:pPr>
              <w:rPr>
                <w:sz w:val="24"/>
              </w:rPr>
            </w:pPr>
          </w:p>
          <w:p w:rsidR="00344D12" w:rsidRPr="005878E8" w:rsidRDefault="00344D12" w:rsidP="006717BB">
            <w:pPr>
              <w:rPr>
                <w:sz w:val="24"/>
              </w:rPr>
            </w:pPr>
          </w:p>
        </w:tc>
        <w:tc>
          <w:tcPr>
            <w:tcW w:w="5068" w:type="dxa"/>
          </w:tcPr>
          <w:p w:rsidR="006717BB" w:rsidRPr="005878E8" w:rsidRDefault="006717BB" w:rsidP="006717BB">
            <w:pPr>
              <w:rPr>
                <w:sz w:val="24"/>
              </w:rPr>
            </w:pPr>
          </w:p>
        </w:tc>
      </w:tr>
      <w:tr w:rsidR="006717BB" w:rsidTr="006717BB">
        <w:tc>
          <w:tcPr>
            <w:tcW w:w="0" w:type="auto"/>
          </w:tcPr>
          <w:p w:rsidR="006717BB" w:rsidRPr="005878E8" w:rsidRDefault="006717BB" w:rsidP="006717BB">
            <w:pPr>
              <w:rPr>
                <w:sz w:val="24"/>
                <w:highlight w:val="yellow"/>
              </w:rPr>
            </w:pPr>
          </w:p>
        </w:tc>
        <w:tc>
          <w:tcPr>
            <w:tcW w:w="4211" w:type="dxa"/>
          </w:tcPr>
          <w:p w:rsidR="006717BB" w:rsidRPr="005878E8" w:rsidRDefault="006717BB" w:rsidP="006717BB">
            <w:pPr>
              <w:rPr>
                <w:sz w:val="24"/>
              </w:rPr>
            </w:pPr>
            <w:r w:rsidRPr="005878E8">
              <w:rPr>
                <w:sz w:val="24"/>
                <w:highlight w:val="yellow"/>
              </w:rPr>
              <w:t>Gul</w:t>
            </w:r>
            <w:r w:rsidRPr="005878E8">
              <w:rPr>
                <w:sz w:val="24"/>
              </w:rPr>
              <w:t xml:space="preserve"> = Kan ikke klares nu, men forventes</w:t>
            </w:r>
          </w:p>
          <w:p w:rsidR="006717BB" w:rsidRPr="005878E8" w:rsidRDefault="006717BB" w:rsidP="006717BB">
            <w:pPr>
              <w:rPr>
                <w:sz w:val="24"/>
              </w:rPr>
            </w:pPr>
            <w:r w:rsidRPr="005878E8">
              <w:rPr>
                <w:sz w:val="24"/>
              </w:rPr>
              <w:t>på kort sigt</w:t>
            </w:r>
          </w:p>
          <w:p w:rsidR="006717BB" w:rsidRPr="005878E8" w:rsidRDefault="006717BB" w:rsidP="006717BB">
            <w:pPr>
              <w:pStyle w:val="Listeafsnit"/>
              <w:numPr>
                <w:ilvl w:val="0"/>
                <w:numId w:val="3"/>
              </w:numPr>
              <w:rPr>
                <w:sz w:val="24"/>
              </w:rPr>
            </w:pPr>
            <w:r w:rsidRPr="005878E8">
              <w:rPr>
                <w:sz w:val="24"/>
              </w:rPr>
              <w:t>Begyndende alene-ansvar og mere komplekse opgaver, men med mulighed for at trække sig fra opgaven igen</w:t>
            </w:r>
          </w:p>
          <w:p w:rsidR="006717BB" w:rsidRDefault="006717BB" w:rsidP="006717BB">
            <w:pPr>
              <w:rPr>
                <w:sz w:val="24"/>
              </w:rPr>
            </w:pPr>
          </w:p>
          <w:p w:rsidR="00344D12" w:rsidRDefault="00344D12" w:rsidP="006717BB">
            <w:pPr>
              <w:rPr>
                <w:sz w:val="24"/>
              </w:rPr>
            </w:pPr>
          </w:p>
          <w:p w:rsidR="00344D12" w:rsidRPr="005878E8" w:rsidRDefault="00344D12" w:rsidP="006717BB">
            <w:pPr>
              <w:rPr>
                <w:sz w:val="24"/>
              </w:rPr>
            </w:pPr>
          </w:p>
        </w:tc>
        <w:tc>
          <w:tcPr>
            <w:tcW w:w="5068" w:type="dxa"/>
          </w:tcPr>
          <w:p w:rsidR="006717BB" w:rsidRPr="005878E8" w:rsidRDefault="006717BB" w:rsidP="006717BB">
            <w:pPr>
              <w:rPr>
                <w:sz w:val="24"/>
              </w:rPr>
            </w:pPr>
          </w:p>
        </w:tc>
      </w:tr>
      <w:tr w:rsidR="006717BB" w:rsidTr="006717BB">
        <w:tc>
          <w:tcPr>
            <w:tcW w:w="0" w:type="auto"/>
          </w:tcPr>
          <w:p w:rsidR="006717BB" w:rsidRPr="005878E8" w:rsidRDefault="006717BB" w:rsidP="006717BB">
            <w:pPr>
              <w:rPr>
                <w:sz w:val="24"/>
                <w:highlight w:val="red"/>
              </w:rPr>
            </w:pPr>
          </w:p>
        </w:tc>
        <w:tc>
          <w:tcPr>
            <w:tcW w:w="4211" w:type="dxa"/>
          </w:tcPr>
          <w:p w:rsidR="006717BB" w:rsidRPr="005878E8" w:rsidRDefault="006717BB" w:rsidP="006717BB">
            <w:pPr>
              <w:rPr>
                <w:sz w:val="24"/>
              </w:rPr>
            </w:pPr>
            <w:r w:rsidRPr="005878E8">
              <w:rPr>
                <w:sz w:val="24"/>
                <w:highlight w:val="red"/>
              </w:rPr>
              <w:t>Rød</w:t>
            </w:r>
            <w:r w:rsidRPr="005878E8">
              <w:rPr>
                <w:sz w:val="24"/>
              </w:rPr>
              <w:t xml:space="preserve"> = Kan ikke klares nu, men forventes</w:t>
            </w:r>
          </w:p>
          <w:p w:rsidR="006717BB" w:rsidRPr="005878E8" w:rsidRDefault="006717BB" w:rsidP="006717BB">
            <w:pPr>
              <w:rPr>
                <w:sz w:val="24"/>
              </w:rPr>
            </w:pPr>
            <w:r w:rsidRPr="005878E8">
              <w:rPr>
                <w:sz w:val="24"/>
              </w:rPr>
              <w:t>på lang</w:t>
            </w:r>
            <w:r w:rsidR="005878E8">
              <w:rPr>
                <w:sz w:val="24"/>
              </w:rPr>
              <w:t>/længere</w:t>
            </w:r>
            <w:r w:rsidRPr="005878E8">
              <w:rPr>
                <w:sz w:val="24"/>
              </w:rPr>
              <w:t xml:space="preserve"> sigt</w:t>
            </w:r>
          </w:p>
          <w:p w:rsidR="006717BB" w:rsidRPr="005878E8" w:rsidRDefault="006717BB" w:rsidP="006717BB">
            <w:pPr>
              <w:pStyle w:val="Listeafsnit"/>
              <w:numPr>
                <w:ilvl w:val="0"/>
                <w:numId w:val="1"/>
              </w:numPr>
              <w:rPr>
                <w:sz w:val="24"/>
              </w:rPr>
            </w:pPr>
            <w:r w:rsidRPr="005878E8">
              <w:rPr>
                <w:sz w:val="24"/>
              </w:rPr>
              <w:t>Opgaver, der kræver overblik og fx mange samarbejdspartnere</w:t>
            </w:r>
          </w:p>
          <w:p w:rsidR="006717BB" w:rsidRPr="005878E8" w:rsidRDefault="006717BB" w:rsidP="006717BB">
            <w:pPr>
              <w:pStyle w:val="Listeafsnit"/>
              <w:numPr>
                <w:ilvl w:val="0"/>
                <w:numId w:val="1"/>
              </w:numPr>
              <w:rPr>
                <w:sz w:val="24"/>
              </w:rPr>
            </w:pPr>
            <w:r w:rsidRPr="005878E8">
              <w:rPr>
                <w:sz w:val="24"/>
              </w:rPr>
              <w:t>Opgaver, der kræver koncentration, er kendetegnet ved korte deadlines eller tempokrav.</w:t>
            </w:r>
          </w:p>
          <w:p w:rsidR="006717BB" w:rsidRDefault="006717BB" w:rsidP="006717BB">
            <w:pPr>
              <w:pStyle w:val="Listeafsnit"/>
              <w:numPr>
                <w:ilvl w:val="0"/>
                <w:numId w:val="1"/>
              </w:numPr>
              <w:rPr>
                <w:sz w:val="24"/>
              </w:rPr>
            </w:pPr>
            <w:r w:rsidRPr="005878E8">
              <w:rPr>
                <w:sz w:val="24"/>
              </w:rPr>
              <w:t>Diffuse/uklart beskrevne opgaver (typisk hurtige ad hoc-opgaver)</w:t>
            </w:r>
          </w:p>
          <w:p w:rsidR="00344D12" w:rsidRPr="00344D12" w:rsidRDefault="00344D12" w:rsidP="00344D12">
            <w:pPr>
              <w:rPr>
                <w:sz w:val="24"/>
              </w:rPr>
            </w:pPr>
          </w:p>
        </w:tc>
        <w:tc>
          <w:tcPr>
            <w:tcW w:w="5068" w:type="dxa"/>
          </w:tcPr>
          <w:p w:rsidR="006717BB" w:rsidRPr="005878E8" w:rsidRDefault="006717BB" w:rsidP="006717BB">
            <w:pPr>
              <w:rPr>
                <w:sz w:val="24"/>
              </w:rPr>
            </w:pPr>
          </w:p>
        </w:tc>
      </w:tr>
    </w:tbl>
    <w:p w:rsidR="006717BB" w:rsidRDefault="006717BB" w:rsidP="006717BB"/>
    <w:p w:rsidR="001A5C12" w:rsidRDefault="001A5C12"/>
    <w:sectPr w:rsidR="001A5C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5E" w:rsidRDefault="00A9445E" w:rsidP="00A9445E">
      <w:pPr>
        <w:spacing w:after="0" w:line="240" w:lineRule="auto"/>
      </w:pPr>
      <w:r>
        <w:separator/>
      </w:r>
    </w:p>
  </w:endnote>
  <w:endnote w:type="continuationSeparator" w:id="0">
    <w:p w:rsidR="00A9445E" w:rsidRDefault="00A9445E" w:rsidP="00A9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5E" w:rsidRDefault="00A9445E" w:rsidP="00A9445E">
      <w:pPr>
        <w:spacing w:after="0" w:line="240" w:lineRule="auto"/>
      </w:pPr>
      <w:r>
        <w:separator/>
      </w:r>
    </w:p>
  </w:footnote>
  <w:footnote w:type="continuationSeparator" w:id="0">
    <w:p w:rsidR="00A9445E" w:rsidRDefault="00A9445E" w:rsidP="00A9445E">
      <w:pPr>
        <w:spacing w:after="0" w:line="240" w:lineRule="auto"/>
      </w:pPr>
      <w:r>
        <w:continuationSeparator/>
      </w:r>
    </w:p>
  </w:footnote>
  <w:footnote w:id="1">
    <w:p w:rsidR="00A9445E" w:rsidRDefault="00A9445E" w:rsidP="00A9445E">
      <w:pPr>
        <w:pStyle w:val="Fodnotetekst"/>
      </w:pPr>
      <w:r>
        <w:rPr>
          <w:rStyle w:val="Fodnotehenvisning"/>
        </w:rPr>
        <w:footnoteRef/>
      </w:r>
      <w:r>
        <w:t xml:space="preserve"> </w:t>
      </w:r>
      <w:r>
        <w:t>fra: 'Efter stress? - om at komme tilbage på arbejde efter stress</w:t>
      </w:r>
      <w:r>
        <w:t xml:space="preserve">. </w:t>
      </w:r>
      <w:r>
        <w:t>Arbejdsmedicinsk klinik, H</w:t>
      </w:r>
      <w:bookmarkStart w:id="0" w:name="_GoBack"/>
      <w:bookmarkEnd w:id="0"/>
      <w:r>
        <w:t>er</w:t>
      </w:r>
      <w:r>
        <w:t>n</w:t>
      </w:r>
      <w:r>
        <w: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DEF9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D6E66BD"/>
    <w:multiLevelType w:val="multilevel"/>
    <w:tmpl w:val="9496E78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06760E"/>
    <w:multiLevelType w:val="multilevel"/>
    <w:tmpl w:val="671046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6CC6812"/>
    <w:multiLevelType w:val="hybridMultilevel"/>
    <w:tmpl w:val="7292ED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B"/>
    <w:rsid w:val="001A5C12"/>
    <w:rsid w:val="0020359A"/>
    <w:rsid w:val="00344D12"/>
    <w:rsid w:val="0052031F"/>
    <w:rsid w:val="005518D8"/>
    <w:rsid w:val="005878E8"/>
    <w:rsid w:val="0061506C"/>
    <w:rsid w:val="00634907"/>
    <w:rsid w:val="006717BB"/>
    <w:rsid w:val="0072478B"/>
    <w:rsid w:val="008B4CB9"/>
    <w:rsid w:val="00A2747C"/>
    <w:rsid w:val="00A9445E"/>
    <w:rsid w:val="00C76863"/>
    <w:rsid w:val="00DB5590"/>
    <w:rsid w:val="00E62A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A5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A5C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7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717BB"/>
    <w:pPr>
      <w:ind w:left="720"/>
      <w:contextualSpacing/>
    </w:pPr>
  </w:style>
  <w:style w:type="paragraph" w:styleId="Opstilling-punkttegn">
    <w:name w:val="List Bullet"/>
    <w:basedOn w:val="Normal"/>
    <w:uiPriority w:val="99"/>
    <w:semiHidden/>
    <w:unhideWhenUsed/>
    <w:rsid w:val="006717BB"/>
    <w:pPr>
      <w:numPr>
        <w:numId w:val="2"/>
      </w:numPr>
      <w:contextualSpacing/>
    </w:pPr>
  </w:style>
  <w:style w:type="character" w:customStyle="1" w:styleId="Overskrift1Tegn">
    <w:name w:val="Overskrift 1 Tegn"/>
    <w:basedOn w:val="Standardskrifttypeiafsnit"/>
    <w:link w:val="Overskrift1"/>
    <w:uiPriority w:val="9"/>
    <w:rsid w:val="001A5C1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A5C12"/>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semiHidden/>
    <w:unhideWhenUsed/>
    <w:rsid w:val="00A9445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9445E"/>
    <w:rPr>
      <w:sz w:val="20"/>
      <w:szCs w:val="20"/>
    </w:rPr>
  </w:style>
  <w:style w:type="character" w:styleId="Fodnotehenvisning">
    <w:name w:val="footnote reference"/>
    <w:basedOn w:val="Standardskrifttypeiafsnit"/>
    <w:uiPriority w:val="99"/>
    <w:semiHidden/>
    <w:unhideWhenUsed/>
    <w:rsid w:val="00A944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A5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A5C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7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717BB"/>
    <w:pPr>
      <w:ind w:left="720"/>
      <w:contextualSpacing/>
    </w:pPr>
  </w:style>
  <w:style w:type="paragraph" w:styleId="Opstilling-punkttegn">
    <w:name w:val="List Bullet"/>
    <w:basedOn w:val="Normal"/>
    <w:uiPriority w:val="99"/>
    <w:semiHidden/>
    <w:unhideWhenUsed/>
    <w:rsid w:val="006717BB"/>
    <w:pPr>
      <w:numPr>
        <w:numId w:val="2"/>
      </w:numPr>
      <w:contextualSpacing/>
    </w:pPr>
  </w:style>
  <w:style w:type="character" w:customStyle="1" w:styleId="Overskrift1Tegn">
    <w:name w:val="Overskrift 1 Tegn"/>
    <w:basedOn w:val="Standardskrifttypeiafsnit"/>
    <w:link w:val="Overskrift1"/>
    <w:uiPriority w:val="9"/>
    <w:rsid w:val="001A5C1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A5C12"/>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semiHidden/>
    <w:unhideWhenUsed/>
    <w:rsid w:val="00A9445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9445E"/>
    <w:rPr>
      <w:sz w:val="20"/>
      <w:szCs w:val="20"/>
    </w:rPr>
  </w:style>
  <w:style w:type="character" w:styleId="Fodnotehenvisning">
    <w:name w:val="footnote reference"/>
    <w:basedOn w:val="Standardskrifttypeiafsnit"/>
    <w:uiPriority w:val="99"/>
    <w:semiHidden/>
    <w:unhideWhenUsed/>
    <w:rsid w:val="00A944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EF19-8DBB-4BAC-A605-AA7F2AEE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67EE5EA8</Template>
  <TotalTime>111</TotalTime>
  <Pages>2</Pages>
  <Words>240</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Hermund</dc:creator>
  <cp:lastModifiedBy>Ingelise Hermund</cp:lastModifiedBy>
  <cp:revision>6</cp:revision>
  <cp:lastPrinted>2016-03-03T14:58:00Z</cp:lastPrinted>
  <dcterms:created xsi:type="dcterms:W3CDTF">2015-12-04T13:04:00Z</dcterms:created>
  <dcterms:modified xsi:type="dcterms:W3CDTF">2016-06-22T08:43:00Z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